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23153" w14:textId="1827E255" w:rsidR="004A78F1" w:rsidRDefault="00D20EAB" w:rsidP="00D20EAB">
      <w:pPr>
        <w:rPr>
          <w:b/>
        </w:rPr>
      </w:pPr>
      <w:r>
        <w:rPr>
          <w:b/>
        </w:rPr>
        <w:t>Compito 1 – Esercitazione del 03/10/2018</w:t>
      </w:r>
    </w:p>
    <w:p w14:paraId="4A07B07B" w14:textId="77777777" w:rsidR="0055203A" w:rsidRPr="0055203A" w:rsidRDefault="0055203A" w:rsidP="0055203A">
      <w:pPr>
        <w:rPr>
          <w:i/>
        </w:rPr>
      </w:pPr>
      <w:r w:rsidRPr="0055203A">
        <w:rPr>
          <w:i/>
        </w:rPr>
        <w:t>di Giovanni Gallo</w:t>
      </w:r>
    </w:p>
    <w:p w14:paraId="43C3CFCC" w14:textId="77777777" w:rsidR="0055203A" w:rsidRDefault="0055203A" w:rsidP="00D20EAB">
      <w:pPr>
        <w:rPr>
          <w:b/>
        </w:rPr>
      </w:pPr>
    </w:p>
    <w:p w14:paraId="61154096" w14:textId="21F4B4AB" w:rsidR="00D20EAB" w:rsidRPr="00802187" w:rsidRDefault="00772256" w:rsidP="00802187">
      <w:pPr>
        <w:pStyle w:val="Titolo1"/>
      </w:pPr>
      <w:r w:rsidRPr="00802187">
        <w:t>(Sezione A)</w:t>
      </w:r>
    </w:p>
    <w:p w14:paraId="6144BC4E" w14:textId="516983ED" w:rsidR="00D20EAB" w:rsidRPr="0055203A" w:rsidRDefault="00F7798C" w:rsidP="00D20EAB">
      <w:pPr>
        <w:rPr>
          <w:color w:val="4472C4" w:themeColor="accent1"/>
        </w:rPr>
      </w:pPr>
      <w:r w:rsidRPr="0055203A">
        <w:rPr>
          <w:color w:val="4472C4" w:themeColor="accent1"/>
        </w:rPr>
        <w:t>Facendo esclusivo riferimento ai microdati SHIW 2016, si fornisca una rapida disamina della condizione lavorativa</w:t>
      </w:r>
      <w:r w:rsidR="00772256" w:rsidRPr="0055203A">
        <w:rPr>
          <w:color w:val="4472C4" w:themeColor="accent1"/>
        </w:rPr>
        <w:t xml:space="preserve"> nel 2016</w:t>
      </w:r>
      <w:r w:rsidRPr="0055203A">
        <w:rPr>
          <w:color w:val="4472C4" w:themeColor="accent1"/>
        </w:rPr>
        <w:t xml:space="preserve"> degli individui </w:t>
      </w:r>
      <w:r w:rsidR="00772256" w:rsidRPr="0055203A">
        <w:rPr>
          <w:color w:val="4472C4" w:themeColor="accent1"/>
        </w:rPr>
        <w:t>di età compresa tra 18 e 70 anni</w:t>
      </w:r>
      <w:r w:rsidRPr="0055203A">
        <w:rPr>
          <w:color w:val="4472C4" w:themeColor="accent1"/>
        </w:rPr>
        <w:t xml:space="preserve">. Nella risposta si consideri una variabile di </w:t>
      </w:r>
      <w:r w:rsidRPr="0055203A">
        <w:rPr>
          <w:b/>
          <w:color w:val="4472C4" w:themeColor="accent1"/>
        </w:rPr>
        <w:t>massimo 8 modalità</w:t>
      </w:r>
      <w:r w:rsidR="00772256" w:rsidRPr="0055203A">
        <w:rPr>
          <w:color w:val="4472C4" w:themeColor="accent1"/>
        </w:rPr>
        <w:t xml:space="preserve">, ottenuta tramite ricodifica della variabile APQUAL presente nel questionario. Si fornisca visione, inoltre, delle differenze nella condizione lavorativa per genere (uomo/donna) e macroarea di residenza (Nord/Centro/Sud). </w:t>
      </w:r>
      <w:r w:rsidR="00772256" w:rsidRPr="0055203A">
        <w:rPr>
          <w:b/>
          <w:color w:val="4472C4" w:themeColor="accent1"/>
          <w:u w:val="single"/>
        </w:rPr>
        <w:t>Max 600 parole</w:t>
      </w:r>
    </w:p>
    <w:p w14:paraId="57F6F8D5" w14:textId="250A97D5" w:rsidR="00772256" w:rsidRDefault="00772256" w:rsidP="00D20EAB"/>
    <w:p w14:paraId="238E26B7" w14:textId="20D5661D" w:rsidR="00E266EF" w:rsidRDefault="00E266EF" w:rsidP="00D20EAB">
      <w:r>
        <w:t>Il campione dell’indagine SHIW (Banca d’Italia)</w:t>
      </w:r>
      <w:r w:rsidR="00A6784C">
        <w:t xml:space="preserve"> mostra per l’anno 2016</w:t>
      </w:r>
      <w:r w:rsidR="00E77B29">
        <w:t xml:space="preserve"> una quota prevalente di occupati (lavoratori dipendenti o </w:t>
      </w:r>
      <w:r w:rsidR="00DA5C15">
        <w:t>indipendente</w:t>
      </w:r>
      <w:r w:rsidR="00DF3723">
        <w:t>)</w:t>
      </w:r>
      <w:r w:rsidR="002218C0">
        <w:t xml:space="preserve"> tra gli individui in età compresa tra 18 e 70 anni</w:t>
      </w:r>
      <w:r w:rsidR="00502B71">
        <w:t xml:space="preserve"> (Tabella 1)</w:t>
      </w:r>
      <w:r w:rsidR="002218C0">
        <w:t>.</w:t>
      </w:r>
      <w:r w:rsidR="009E53EC">
        <w:t xml:space="preserve"> Nello specifico, il 36% risulta </w:t>
      </w:r>
      <w:r w:rsidR="003D7C59">
        <w:t xml:space="preserve">in condizioni di lavoro dipendente </w:t>
      </w:r>
      <w:r w:rsidR="001E3712">
        <w:t>con inquadramento inferiore (oper</w:t>
      </w:r>
      <w:r w:rsidR="008413DE">
        <w:t>aio, impiegato o insegnante), il 3% ha un ruolo da quadro o dirigente e il 9%</w:t>
      </w:r>
      <w:r w:rsidR="00C31200">
        <w:t xml:space="preserve"> dichiara di essere un lavoratore indipendente, autonomo o atipico.</w:t>
      </w:r>
      <w:r w:rsidR="00502B71">
        <w:t xml:space="preserve"> Il 13% degli individui residenti in Italia appare disoccupato o in cerca di prima occupazione nel 2016, mentre il 7%</w:t>
      </w:r>
      <w:r w:rsidR="00ED005E">
        <w:t xml:space="preserve"> </w:t>
      </w:r>
      <w:r w:rsidR="00567D59">
        <w:t>si dice</w:t>
      </w:r>
      <w:r w:rsidR="00104BCB">
        <w:t xml:space="preserve"> ancora in educazione o formazione e il 19% è già </w:t>
      </w:r>
      <w:r w:rsidR="00EA1685">
        <w:t xml:space="preserve">in pensione (la seconda categoria più ampia dopo </w:t>
      </w:r>
      <w:r w:rsidR="00900081">
        <w:t>i dipendenti con ruoli non dirigenziali)</w:t>
      </w:r>
      <w:r w:rsidR="00EA1685">
        <w:t>.</w:t>
      </w:r>
      <w:r w:rsidR="00900081">
        <w:t xml:space="preserve"> Infine, il 14% </w:t>
      </w:r>
      <w:r w:rsidR="00E5171B">
        <w:t xml:space="preserve">degli intervistati risulta in altra condizione di inattività, </w:t>
      </w:r>
      <w:r w:rsidR="00567D59">
        <w:t>dichiarandosi in questo caso per lo più casalinga/o.</w:t>
      </w:r>
    </w:p>
    <w:p w14:paraId="35BB3A62" w14:textId="77777777" w:rsidR="00173520" w:rsidRDefault="00173520" w:rsidP="00D20EAB"/>
    <w:p w14:paraId="578207C3" w14:textId="5D60BC49" w:rsidR="00705F57" w:rsidRPr="00FA57B2" w:rsidRDefault="00705F57" w:rsidP="006A2763">
      <w:pPr>
        <w:pStyle w:val="Titolo2"/>
      </w:pPr>
      <w:r w:rsidRPr="00FA57B2">
        <w:t xml:space="preserve">Tabella 1 – Condizione </w:t>
      </w:r>
      <w:r w:rsidRPr="00802187">
        <w:t>lavorativa</w:t>
      </w:r>
      <w:r w:rsidRPr="00FA57B2">
        <w:t xml:space="preserve"> </w:t>
      </w:r>
      <w:r w:rsidR="00FA57B2" w:rsidRPr="00FA57B2">
        <w:t xml:space="preserve">degli individui </w:t>
      </w:r>
      <w:r w:rsidR="00FA57B2" w:rsidRPr="00173520">
        <w:t>di</w:t>
      </w:r>
      <w:r w:rsidR="00FA57B2" w:rsidRPr="00FA57B2">
        <w:t xml:space="preserve"> 18-70 anni nel 2016</w:t>
      </w:r>
    </w:p>
    <w:tbl>
      <w:tblPr>
        <w:tblW w:w="7087" w:type="dxa"/>
        <w:jc w:val="center"/>
        <w:tblLook w:val="04A0" w:firstRow="1" w:lastRow="0" w:firstColumn="1" w:lastColumn="0" w:noHBand="0" w:noVBand="1"/>
      </w:tblPr>
      <w:tblGrid>
        <w:gridCol w:w="4819"/>
        <w:gridCol w:w="1134"/>
        <w:gridCol w:w="1134"/>
      </w:tblGrid>
      <w:tr w:rsidR="00D53076" w:rsidRPr="00705F57" w14:paraId="3C027803" w14:textId="77777777" w:rsidTr="00173520">
        <w:trPr>
          <w:trHeight w:val="30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9C41" w14:textId="77777777" w:rsidR="00705F57" w:rsidRPr="00705F57" w:rsidRDefault="00705F57" w:rsidP="00705F5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05F57">
              <w:rPr>
                <w:rFonts w:eastAsia="Times New Roman" w:cs="Times New Roman"/>
                <w:b/>
                <w:bCs/>
                <w:color w:val="000000"/>
                <w:sz w:val="22"/>
              </w:rPr>
              <w:t>Condizione lavorativa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6D0A" w14:textId="77777777" w:rsidR="00705F57" w:rsidRPr="00705F57" w:rsidRDefault="00705F57" w:rsidP="00705F5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05F57">
              <w:rPr>
                <w:rFonts w:eastAsia="Times New Roman" w:cs="Times New Roman"/>
                <w:b/>
                <w:bCs/>
                <w:color w:val="000000"/>
                <w:sz w:val="22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E32F" w14:textId="77777777" w:rsidR="00705F57" w:rsidRPr="00705F57" w:rsidRDefault="00705F57" w:rsidP="00705F5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05F57">
              <w:rPr>
                <w:rFonts w:eastAsia="Times New Roman" w:cs="Times New Roman"/>
                <w:b/>
                <w:bCs/>
                <w:color w:val="000000"/>
                <w:sz w:val="22"/>
              </w:rPr>
              <w:t>%</w:t>
            </w:r>
          </w:p>
        </w:tc>
      </w:tr>
      <w:tr w:rsidR="00D53076" w:rsidRPr="00705F57" w14:paraId="2FB09A84" w14:textId="77777777" w:rsidTr="00173520">
        <w:trPr>
          <w:trHeight w:val="300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E155" w14:textId="4394EC59" w:rsidR="00705F57" w:rsidRPr="00705F57" w:rsidRDefault="00705F57" w:rsidP="00705F57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705F57">
              <w:rPr>
                <w:rFonts w:eastAsia="Times New Roman" w:cs="Times New Roman"/>
                <w:color w:val="000000"/>
                <w:sz w:val="22"/>
              </w:rPr>
              <w:t xml:space="preserve">Lavoratore dipendente </w:t>
            </w:r>
            <w:r w:rsidR="00D53076">
              <w:rPr>
                <w:rFonts w:eastAsia="Times New Roman" w:cs="Times New Roman"/>
                <w:color w:val="000000"/>
                <w:sz w:val="22"/>
              </w:rPr>
              <w:t>con inquadramento inferiore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5657" w14:textId="77777777" w:rsidR="00705F57" w:rsidRPr="00705F57" w:rsidRDefault="00705F57" w:rsidP="00705F5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05F57">
              <w:rPr>
                <w:rFonts w:eastAsia="Times New Roman" w:cs="Times New Roman"/>
                <w:color w:val="000000"/>
                <w:sz w:val="22"/>
              </w:rPr>
              <w:t>3.956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26FD" w14:textId="77777777" w:rsidR="00705F57" w:rsidRPr="00705F57" w:rsidRDefault="00705F57" w:rsidP="00FA57B2">
            <w:pPr>
              <w:spacing w:after="0"/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705F57">
              <w:rPr>
                <w:rFonts w:eastAsia="Times New Roman" w:cs="Times New Roman"/>
                <w:i/>
                <w:color w:val="000000"/>
                <w:sz w:val="22"/>
              </w:rPr>
              <w:t>35,9%</w:t>
            </w:r>
          </w:p>
        </w:tc>
      </w:tr>
      <w:tr w:rsidR="00D53076" w:rsidRPr="00705F57" w14:paraId="39A1FA9F" w14:textId="77777777" w:rsidTr="00173520">
        <w:trPr>
          <w:trHeight w:val="300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954B" w14:textId="6C3F8D46" w:rsidR="00705F57" w:rsidRPr="00705F57" w:rsidRDefault="001437EE" w:rsidP="00705F57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Lavoratore d</w:t>
            </w:r>
            <w:r w:rsidR="00705F57" w:rsidRPr="00705F57">
              <w:rPr>
                <w:rFonts w:eastAsia="Times New Roman" w:cs="Times New Roman"/>
                <w:color w:val="000000"/>
                <w:sz w:val="22"/>
              </w:rPr>
              <w:t>ipendente quadro/dirigente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1D6" w14:textId="77777777" w:rsidR="00705F57" w:rsidRPr="00705F57" w:rsidRDefault="00705F57" w:rsidP="00705F5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05F57">
              <w:rPr>
                <w:rFonts w:eastAsia="Times New Roman" w:cs="Times New Roman"/>
                <w:color w:val="000000"/>
                <w:sz w:val="22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BC13" w14:textId="77777777" w:rsidR="00705F57" w:rsidRPr="00705F57" w:rsidRDefault="00705F57" w:rsidP="00FA57B2">
            <w:pPr>
              <w:spacing w:after="0"/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705F57">
              <w:rPr>
                <w:rFonts w:eastAsia="Times New Roman" w:cs="Times New Roman"/>
                <w:i/>
                <w:color w:val="000000"/>
                <w:sz w:val="22"/>
              </w:rPr>
              <w:t>2,9%</w:t>
            </w:r>
          </w:p>
        </w:tc>
      </w:tr>
      <w:tr w:rsidR="00D53076" w:rsidRPr="00705F57" w14:paraId="75457484" w14:textId="77777777" w:rsidTr="00173520">
        <w:trPr>
          <w:trHeight w:val="300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77D0" w14:textId="615AA6DC" w:rsidR="00705F57" w:rsidRPr="00705F57" w:rsidRDefault="00705F57" w:rsidP="00705F57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705F57">
              <w:rPr>
                <w:rFonts w:eastAsia="Times New Roman" w:cs="Times New Roman"/>
                <w:color w:val="000000"/>
                <w:sz w:val="22"/>
              </w:rPr>
              <w:t xml:space="preserve">Lavoratore </w:t>
            </w:r>
            <w:r w:rsidR="00DA5C15">
              <w:rPr>
                <w:rFonts w:eastAsia="Times New Roman" w:cs="Times New Roman"/>
                <w:color w:val="000000"/>
                <w:sz w:val="22"/>
              </w:rPr>
              <w:t>indipendente</w:t>
            </w:r>
            <w:r w:rsidR="001437EE">
              <w:rPr>
                <w:rFonts w:eastAsia="Times New Roman" w:cs="Times New Roman"/>
                <w:color w:val="000000"/>
                <w:sz w:val="22"/>
              </w:rPr>
              <w:t xml:space="preserve"> o </w:t>
            </w:r>
            <w:r w:rsidR="005D2DC5">
              <w:rPr>
                <w:rFonts w:eastAsia="Times New Roman" w:cs="Times New Roman"/>
                <w:color w:val="000000"/>
                <w:sz w:val="22"/>
              </w:rPr>
              <w:t>atipico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1611" w14:textId="77777777" w:rsidR="00705F57" w:rsidRPr="00705F57" w:rsidRDefault="00705F57" w:rsidP="00705F5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05F57">
              <w:rPr>
                <w:rFonts w:eastAsia="Times New Roman" w:cs="Times New Roman"/>
                <w:color w:val="000000"/>
                <w:sz w:val="22"/>
              </w:rPr>
              <w:t>1.002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6A29" w14:textId="77777777" w:rsidR="00705F57" w:rsidRPr="00705F57" w:rsidRDefault="00705F57" w:rsidP="00FA57B2">
            <w:pPr>
              <w:spacing w:after="0"/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705F57">
              <w:rPr>
                <w:rFonts w:eastAsia="Times New Roman" w:cs="Times New Roman"/>
                <w:i/>
                <w:color w:val="000000"/>
                <w:sz w:val="22"/>
              </w:rPr>
              <w:t>9,1%</w:t>
            </w:r>
          </w:p>
        </w:tc>
      </w:tr>
      <w:tr w:rsidR="00D53076" w:rsidRPr="00705F57" w14:paraId="203B54EE" w14:textId="77777777" w:rsidTr="00173520">
        <w:trPr>
          <w:trHeight w:val="300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F30E" w14:textId="31A1DB61" w:rsidR="00705F57" w:rsidRPr="00705F57" w:rsidRDefault="00705F57" w:rsidP="00705F57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705F57">
              <w:rPr>
                <w:rFonts w:eastAsia="Times New Roman" w:cs="Times New Roman"/>
                <w:color w:val="000000"/>
                <w:sz w:val="22"/>
              </w:rPr>
              <w:t>Disoccupato</w:t>
            </w:r>
            <w:r w:rsidR="001437EE">
              <w:rPr>
                <w:rFonts w:eastAsia="Times New Roman" w:cs="Times New Roman"/>
                <w:color w:val="000000"/>
                <w:sz w:val="22"/>
              </w:rPr>
              <w:t xml:space="preserve"> o in cerca di prima occupazione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061" w14:textId="77777777" w:rsidR="00705F57" w:rsidRPr="00705F57" w:rsidRDefault="00705F57" w:rsidP="00705F5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05F57">
              <w:rPr>
                <w:rFonts w:eastAsia="Times New Roman" w:cs="Times New Roman"/>
                <w:color w:val="000000"/>
                <w:sz w:val="22"/>
              </w:rPr>
              <w:t>1.421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6E18" w14:textId="77777777" w:rsidR="00705F57" w:rsidRPr="00705F57" w:rsidRDefault="00705F57" w:rsidP="00FA57B2">
            <w:pPr>
              <w:spacing w:after="0"/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705F57">
              <w:rPr>
                <w:rFonts w:eastAsia="Times New Roman" w:cs="Times New Roman"/>
                <w:i/>
                <w:color w:val="000000"/>
                <w:sz w:val="22"/>
              </w:rPr>
              <w:t>12,9%</w:t>
            </w:r>
          </w:p>
        </w:tc>
      </w:tr>
      <w:tr w:rsidR="00D53076" w:rsidRPr="00705F57" w14:paraId="50A9C9EB" w14:textId="77777777" w:rsidTr="00173520">
        <w:trPr>
          <w:trHeight w:val="300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E982" w14:textId="2917B779" w:rsidR="00705F57" w:rsidRPr="00705F57" w:rsidRDefault="00705F57" w:rsidP="00705F57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705F57">
              <w:rPr>
                <w:rFonts w:eastAsia="Times New Roman" w:cs="Times New Roman"/>
                <w:color w:val="000000"/>
                <w:sz w:val="22"/>
              </w:rPr>
              <w:t>Pensionat</w:t>
            </w:r>
            <w:r w:rsidR="00567BE6">
              <w:rPr>
                <w:rFonts w:eastAsia="Times New Roman" w:cs="Times New Roman"/>
                <w:color w:val="000000"/>
                <w:sz w:val="22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D8CB" w14:textId="77777777" w:rsidR="00705F57" w:rsidRPr="00705F57" w:rsidRDefault="00705F57" w:rsidP="00705F5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05F57">
              <w:rPr>
                <w:rFonts w:eastAsia="Times New Roman" w:cs="Times New Roman"/>
                <w:color w:val="000000"/>
                <w:sz w:val="22"/>
              </w:rPr>
              <w:t>2.095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E944" w14:textId="77777777" w:rsidR="00705F57" w:rsidRPr="00705F57" w:rsidRDefault="00705F57" w:rsidP="00FA57B2">
            <w:pPr>
              <w:spacing w:after="0"/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705F57">
              <w:rPr>
                <w:rFonts w:eastAsia="Times New Roman" w:cs="Times New Roman"/>
                <w:i/>
                <w:color w:val="000000"/>
                <w:sz w:val="22"/>
              </w:rPr>
              <w:t>19,0%</w:t>
            </w:r>
          </w:p>
        </w:tc>
      </w:tr>
      <w:tr w:rsidR="00D53076" w:rsidRPr="00705F57" w14:paraId="1C85AE11" w14:textId="77777777" w:rsidTr="00173520">
        <w:trPr>
          <w:trHeight w:val="300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0BA6" w14:textId="77777777" w:rsidR="00705F57" w:rsidRPr="00705F57" w:rsidRDefault="00705F57" w:rsidP="00705F57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705F57">
              <w:rPr>
                <w:rFonts w:eastAsia="Times New Roman" w:cs="Times New Roman"/>
                <w:color w:val="000000"/>
                <w:sz w:val="22"/>
              </w:rPr>
              <w:t>Studente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9986" w14:textId="77777777" w:rsidR="00705F57" w:rsidRPr="00705F57" w:rsidRDefault="00705F57" w:rsidP="00705F5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05F57">
              <w:rPr>
                <w:rFonts w:eastAsia="Times New Roman" w:cs="Times New Roman"/>
                <w:color w:val="000000"/>
                <w:sz w:val="22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88B1" w14:textId="77777777" w:rsidR="00705F57" w:rsidRPr="00705F57" w:rsidRDefault="00705F57" w:rsidP="00FA57B2">
            <w:pPr>
              <w:spacing w:after="0"/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705F57">
              <w:rPr>
                <w:rFonts w:eastAsia="Times New Roman" w:cs="Times New Roman"/>
                <w:i/>
                <w:color w:val="000000"/>
                <w:sz w:val="22"/>
              </w:rPr>
              <w:t>6,5%</w:t>
            </w:r>
          </w:p>
        </w:tc>
      </w:tr>
      <w:tr w:rsidR="00D53076" w:rsidRPr="00705F57" w14:paraId="30EE6BAE" w14:textId="77777777" w:rsidTr="00173520">
        <w:trPr>
          <w:trHeight w:val="300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8BC1" w14:textId="4AFE3964" w:rsidR="00705F57" w:rsidRPr="00705F57" w:rsidRDefault="00705F57" w:rsidP="00705F57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705F57">
              <w:rPr>
                <w:rFonts w:eastAsia="Times New Roman" w:cs="Times New Roman"/>
                <w:color w:val="000000"/>
                <w:sz w:val="22"/>
              </w:rPr>
              <w:t>Altro inattivo</w:t>
            </w:r>
            <w:r w:rsidR="00567BE6">
              <w:rPr>
                <w:rFonts w:eastAsia="Times New Roman" w:cs="Times New Roman"/>
                <w:color w:val="000000"/>
                <w:sz w:val="22"/>
              </w:rPr>
              <w:t xml:space="preserve"> (casalinga/o, benestante</w:t>
            </w:r>
            <w:r w:rsidR="005D2DC5">
              <w:rPr>
                <w:rFonts w:eastAsia="Times New Roman" w:cs="Times New Roman"/>
                <w:color w:val="000000"/>
                <w:sz w:val="22"/>
              </w:rPr>
              <w:t xml:space="preserve"> o altro)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5331" w14:textId="77777777" w:rsidR="00705F57" w:rsidRPr="00705F57" w:rsidRDefault="00705F57" w:rsidP="00705F5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05F57">
              <w:rPr>
                <w:rFonts w:eastAsia="Times New Roman" w:cs="Times New Roman"/>
                <w:color w:val="000000"/>
                <w:sz w:val="22"/>
              </w:rPr>
              <w:t>1.518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3DBE" w14:textId="77777777" w:rsidR="00705F57" w:rsidRPr="00705F57" w:rsidRDefault="00705F57" w:rsidP="00FA57B2">
            <w:pPr>
              <w:spacing w:after="0"/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705F57">
              <w:rPr>
                <w:rFonts w:eastAsia="Times New Roman" w:cs="Times New Roman"/>
                <w:i/>
                <w:color w:val="000000"/>
                <w:sz w:val="22"/>
              </w:rPr>
              <w:t>13,8%</w:t>
            </w:r>
          </w:p>
        </w:tc>
      </w:tr>
      <w:tr w:rsidR="00D53076" w:rsidRPr="00705F57" w14:paraId="1147A16D" w14:textId="77777777" w:rsidTr="00173520">
        <w:trPr>
          <w:trHeight w:val="30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BAE4" w14:textId="77777777" w:rsidR="00705F57" w:rsidRPr="00705F57" w:rsidRDefault="00705F57" w:rsidP="00705F5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05F57">
              <w:rPr>
                <w:rFonts w:eastAsia="Times New Roman" w:cs="Times New Roman"/>
                <w:b/>
                <w:bCs/>
                <w:color w:val="000000"/>
                <w:sz w:val="22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9E04" w14:textId="77777777" w:rsidR="00705F57" w:rsidRPr="00705F57" w:rsidRDefault="00705F57" w:rsidP="00705F57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05F57">
              <w:rPr>
                <w:rFonts w:eastAsia="Times New Roman" w:cs="Times New Roman"/>
                <w:b/>
                <w:bCs/>
                <w:color w:val="000000"/>
                <w:sz w:val="22"/>
              </w:rPr>
              <w:t>11.033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A31E" w14:textId="77777777" w:rsidR="00705F57" w:rsidRPr="00705F57" w:rsidRDefault="00705F57" w:rsidP="00FA57B2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color w:val="000000"/>
                <w:sz w:val="22"/>
              </w:rPr>
            </w:pPr>
            <w:r w:rsidRPr="00705F57">
              <w:rPr>
                <w:rFonts w:eastAsia="Times New Roman" w:cs="Times New Roman"/>
                <w:b/>
                <w:bCs/>
                <w:i/>
                <w:color w:val="000000"/>
                <w:sz w:val="22"/>
              </w:rPr>
              <w:t>100,0%</w:t>
            </w:r>
          </w:p>
        </w:tc>
      </w:tr>
    </w:tbl>
    <w:p w14:paraId="5FDB80F1" w14:textId="77777777" w:rsidR="00705F57" w:rsidRDefault="00705F57" w:rsidP="00D20EAB"/>
    <w:p w14:paraId="1628C756" w14:textId="2F06CA2C" w:rsidR="00F42742" w:rsidRDefault="00B105AA" w:rsidP="00D20EAB">
      <w:r>
        <w:t xml:space="preserve">La condizione lavorativa degli individui di 18-70 anni </w:t>
      </w:r>
      <w:r w:rsidR="00742E1D">
        <w:t>emerge molto diversa quando si distingue</w:t>
      </w:r>
      <w:r w:rsidR="00C10AE6">
        <w:t xml:space="preserve"> per il loro genere o la macroarea di residenza (Nord, Centro o Sud Italia). Con riferimento alla distinzione </w:t>
      </w:r>
      <w:r w:rsidR="00B70455">
        <w:t xml:space="preserve">per genere, </w:t>
      </w:r>
      <w:r w:rsidR="00972659">
        <w:t>appare chiara nella</w:t>
      </w:r>
      <w:r w:rsidR="00B70455">
        <w:t xml:space="preserve"> Tabella 2 </w:t>
      </w:r>
      <w:r w:rsidR="00972659">
        <w:t>la minore partecipazione delle donne al mercato del lavoro</w:t>
      </w:r>
      <w:r w:rsidR="00950F8A">
        <w:t xml:space="preserve"> in generale</w:t>
      </w:r>
      <w:r w:rsidR="00972659">
        <w:t xml:space="preserve">. </w:t>
      </w:r>
      <w:r w:rsidR="00793A52">
        <w:t xml:space="preserve">Le donne in età compresa tra 18 e 70 anni, </w:t>
      </w:r>
      <w:r w:rsidR="00EC08B9">
        <w:t>in confronto agli uomini di pari classe d’età</w:t>
      </w:r>
      <w:r w:rsidR="00793A52">
        <w:t>,</w:t>
      </w:r>
      <w:r w:rsidR="009938BD">
        <w:t xml:space="preserve"> </w:t>
      </w:r>
      <w:r w:rsidR="005917BF">
        <w:t>risultano</w:t>
      </w:r>
      <w:r w:rsidR="00EC08B9">
        <w:t xml:space="preserve"> infatti</w:t>
      </w:r>
      <w:r w:rsidR="005917BF">
        <w:t xml:space="preserve"> </w:t>
      </w:r>
      <w:r w:rsidR="000C6B8B">
        <w:t>allo stesso tempo</w:t>
      </w:r>
      <w:r w:rsidR="009938BD">
        <w:t xml:space="preserve"> meno occupate </w:t>
      </w:r>
      <w:r w:rsidR="000C6B8B">
        <w:t>e</w:t>
      </w:r>
      <w:r w:rsidR="009938BD">
        <w:t xml:space="preserve"> </w:t>
      </w:r>
      <w:r w:rsidR="00DA275E">
        <w:t>meno disoccupate in termini</w:t>
      </w:r>
      <w:r w:rsidR="000C6B8B">
        <w:t xml:space="preserve"> sia</w:t>
      </w:r>
      <w:r w:rsidR="00DA275E">
        <w:t xml:space="preserve"> assoluti </w:t>
      </w:r>
      <w:r w:rsidR="000C6B8B">
        <w:t>sia</w:t>
      </w:r>
      <w:r w:rsidR="00DA275E">
        <w:t xml:space="preserve"> relativi.</w:t>
      </w:r>
      <w:r w:rsidR="00DB1711">
        <w:t xml:space="preserve"> </w:t>
      </w:r>
      <w:r w:rsidR="00925590">
        <w:t>Al contrario</w:t>
      </w:r>
      <w:r w:rsidR="00AF3BDE">
        <w:t xml:space="preserve">, più di una donna su quattro dichiara di </w:t>
      </w:r>
      <w:r w:rsidR="0015425D">
        <w:t>svolgere lavoro di cura non retribuito all’interno delle mura domestiche, di fare attività di volontariato</w:t>
      </w:r>
      <w:r w:rsidR="003A634E">
        <w:t xml:space="preserve"> oppure</w:t>
      </w:r>
      <w:r w:rsidR="0087137A">
        <w:t xml:space="preserve"> di non essere interessata a lavorare</w:t>
      </w:r>
      <w:r w:rsidR="007A716F">
        <w:t>, mentre ciò si verifica tra gli uomini in meno dell’1% dei casi</w:t>
      </w:r>
      <w:r w:rsidR="00564A34">
        <w:t>.</w:t>
      </w:r>
      <w:r w:rsidR="00131452">
        <w:t xml:space="preserve"> Emblematico, inoltre, il divario</w:t>
      </w:r>
      <w:r w:rsidR="00C65405">
        <w:t xml:space="preserve"> di genere</w:t>
      </w:r>
      <w:r w:rsidR="00131452">
        <w:t xml:space="preserve"> esistente nel 2016 </w:t>
      </w:r>
      <w:r w:rsidR="00C65405">
        <w:t xml:space="preserve">nelle categorie </w:t>
      </w:r>
      <w:r w:rsidR="00D947DB">
        <w:t xml:space="preserve">dei lavoratori dipendenti con ruoli dirigenziali e dei lavoratori indipendenti, dato che in entrambi i casi </w:t>
      </w:r>
      <w:r w:rsidR="007620E7">
        <w:t>le donne sono la metà della controparte maschile.</w:t>
      </w:r>
    </w:p>
    <w:p w14:paraId="3286CC08" w14:textId="77777777" w:rsidR="00802187" w:rsidRDefault="00802187" w:rsidP="00D20EAB"/>
    <w:p w14:paraId="34676D41" w14:textId="1D1F8E57" w:rsidR="00173520" w:rsidRPr="00FA57B2" w:rsidRDefault="00173520" w:rsidP="006A2763">
      <w:pPr>
        <w:pStyle w:val="Titolo2"/>
      </w:pPr>
      <w:r w:rsidRPr="00FA57B2">
        <w:t xml:space="preserve">Tabella </w:t>
      </w:r>
      <w:r>
        <w:t>2</w:t>
      </w:r>
      <w:r w:rsidRPr="00FA57B2">
        <w:t xml:space="preserve"> – Condizione lavorativa </w:t>
      </w:r>
      <w:r w:rsidR="00153022">
        <w:t>per genere e macroarea di residenza</w:t>
      </w:r>
      <w:r w:rsidRPr="00FA57B2">
        <w:t xml:space="preserve"> nel 2016</w:t>
      </w:r>
    </w:p>
    <w:tbl>
      <w:tblPr>
        <w:tblW w:w="9467" w:type="dxa"/>
        <w:jc w:val="center"/>
        <w:tblLook w:val="04A0" w:firstRow="1" w:lastRow="0" w:firstColumn="1" w:lastColumn="0" w:noHBand="0" w:noVBand="1"/>
      </w:tblPr>
      <w:tblGrid>
        <w:gridCol w:w="4365"/>
        <w:gridCol w:w="850"/>
        <w:gridCol w:w="851"/>
        <w:gridCol w:w="850"/>
        <w:gridCol w:w="850"/>
        <w:gridCol w:w="851"/>
        <w:gridCol w:w="850"/>
      </w:tblGrid>
      <w:tr w:rsidR="00C26308" w:rsidRPr="00C26308" w14:paraId="43F01AEA" w14:textId="77777777" w:rsidTr="00173520">
        <w:trPr>
          <w:trHeight w:val="300"/>
          <w:jc w:val="center"/>
        </w:trPr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234A" w14:textId="77777777" w:rsidR="00C26308" w:rsidRPr="00FA1D9C" w:rsidRDefault="00C26308" w:rsidP="00173520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Condizione lavorativa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39656" w14:textId="77777777" w:rsidR="00C26308" w:rsidRPr="00FA1D9C" w:rsidRDefault="00C26308" w:rsidP="00173520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Genere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B53E3" w14:textId="77777777" w:rsidR="00C26308" w:rsidRPr="00FA1D9C" w:rsidRDefault="00C26308" w:rsidP="00173520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Macroarea di residenza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DBA6" w14:textId="77777777" w:rsidR="00C26308" w:rsidRPr="00FA1D9C" w:rsidRDefault="00C26308" w:rsidP="00173520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</w:t>
            </w:r>
          </w:p>
        </w:tc>
      </w:tr>
      <w:tr w:rsidR="00C26308" w:rsidRPr="00C26308" w14:paraId="048E1D1A" w14:textId="77777777" w:rsidTr="00173520">
        <w:trPr>
          <w:trHeight w:val="300"/>
          <w:jc w:val="center"/>
        </w:trPr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55D68" w14:textId="77777777" w:rsidR="00C26308" w:rsidRPr="00FA1D9C" w:rsidRDefault="00C26308" w:rsidP="00173520">
            <w:pPr>
              <w:keepNext/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D5193" w14:textId="77777777" w:rsidR="00C26308" w:rsidRPr="00FA1D9C" w:rsidRDefault="00C26308" w:rsidP="00173520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Uomo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325F" w14:textId="77777777" w:rsidR="00C26308" w:rsidRPr="00FA1D9C" w:rsidRDefault="00C26308" w:rsidP="00173520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Donna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C224D" w14:textId="77777777" w:rsidR="00C26308" w:rsidRPr="00FA1D9C" w:rsidRDefault="00C26308" w:rsidP="00173520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Nord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CE23B" w14:textId="77777777" w:rsidR="00C26308" w:rsidRPr="00FA1D9C" w:rsidRDefault="00C26308" w:rsidP="00173520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A775" w14:textId="77777777" w:rsidR="00C26308" w:rsidRPr="00FA1D9C" w:rsidRDefault="00C26308" w:rsidP="00173520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Sud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80BEC" w14:textId="77777777" w:rsidR="00C26308" w:rsidRPr="00FA1D9C" w:rsidRDefault="00C26308" w:rsidP="00173520">
            <w:pPr>
              <w:keepNext/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23A0" w:rsidRPr="00C26308" w14:paraId="3440EB9D" w14:textId="77777777" w:rsidTr="00153022">
        <w:trPr>
          <w:trHeight w:val="283"/>
          <w:jc w:val="center"/>
        </w:trPr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230B" w14:textId="77777777" w:rsidR="00FA1D9C" w:rsidRPr="00FA1D9C" w:rsidRDefault="00FA1D9C" w:rsidP="00173520">
            <w:pPr>
              <w:keepNext/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Lavoratore dipendente con inquadramento inferiore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4A78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2.143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9F89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1.813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F841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1.853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92E8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9816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1.220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5A9C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3.956</w:t>
            </w:r>
          </w:p>
        </w:tc>
      </w:tr>
      <w:tr w:rsidR="004023A0" w:rsidRPr="00C26308" w14:paraId="23D6C375" w14:textId="77777777" w:rsidTr="00153022">
        <w:trPr>
          <w:trHeight w:val="283"/>
          <w:jc w:val="center"/>
        </w:trPr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B0D0" w14:textId="77777777" w:rsidR="00FA1D9C" w:rsidRPr="00FA1D9C" w:rsidRDefault="00FA1D9C" w:rsidP="00173520">
            <w:pPr>
              <w:keepNext/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Lavoratore dipendente quadro/dirigente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000B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6FBB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0238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FB69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9AB1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2239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319</w:t>
            </w:r>
          </w:p>
        </w:tc>
      </w:tr>
      <w:tr w:rsidR="004023A0" w:rsidRPr="00C26308" w14:paraId="147B7BDE" w14:textId="77777777" w:rsidTr="00153022">
        <w:trPr>
          <w:trHeight w:val="283"/>
          <w:jc w:val="center"/>
        </w:trPr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1A1A" w14:textId="77777777" w:rsidR="00FA1D9C" w:rsidRPr="00FA1D9C" w:rsidRDefault="00FA1D9C" w:rsidP="00173520">
            <w:pPr>
              <w:keepNext/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Lavoratore indipendente o atipico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0C92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0E90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8144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F2DB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9DC9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2D3D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1.002</w:t>
            </w:r>
          </w:p>
        </w:tc>
      </w:tr>
      <w:tr w:rsidR="004023A0" w:rsidRPr="00C26308" w14:paraId="728E1FF4" w14:textId="77777777" w:rsidTr="00153022">
        <w:trPr>
          <w:trHeight w:val="283"/>
          <w:jc w:val="center"/>
        </w:trPr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AD0B" w14:textId="77777777" w:rsidR="00FA1D9C" w:rsidRPr="00FA1D9C" w:rsidRDefault="00FA1D9C" w:rsidP="00173520">
            <w:pPr>
              <w:keepNext/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Disoccupato o in cerca di prima occupazione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5E14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125D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3F3F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15FA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D33E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A692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1.421</w:t>
            </w:r>
          </w:p>
        </w:tc>
      </w:tr>
      <w:tr w:rsidR="004023A0" w:rsidRPr="00C26308" w14:paraId="6C032BF7" w14:textId="77777777" w:rsidTr="00153022">
        <w:trPr>
          <w:trHeight w:val="283"/>
          <w:jc w:val="center"/>
        </w:trPr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C994" w14:textId="77777777" w:rsidR="00FA1D9C" w:rsidRPr="00FA1D9C" w:rsidRDefault="00FA1D9C" w:rsidP="00173520">
            <w:pPr>
              <w:keepNext/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Pensionato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0902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1.148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6E30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06D2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88E6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9487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E8FD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2.095</w:t>
            </w:r>
          </w:p>
        </w:tc>
      </w:tr>
      <w:tr w:rsidR="004023A0" w:rsidRPr="00C26308" w14:paraId="67632C48" w14:textId="77777777" w:rsidTr="00153022">
        <w:trPr>
          <w:trHeight w:val="283"/>
          <w:jc w:val="center"/>
        </w:trPr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9EE3" w14:textId="77777777" w:rsidR="00FA1D9C" w:rsidRPr="00FA1D9C" w:rsidRDefault="00FA1D9C" w:rsidP="00173520">
            <w:pPr>
              <w:keepNext/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Studente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438F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774C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A135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5F2B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EAA2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25FE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722</w:t>
            </w:r>
          </w:p>
        </w:tc>
      </w:tr>
      <w:tr w:rsidR="004023A0" w:rsidRPr="00C26308" w14:paraId="6BF5EBE8" w14:textId="77777777" w:rsidTr="00153022">
        <w:trPr>
          <w:trHeight w:val="283"/>
          <w:jc w:val="center"/>
        </w:trPr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AA09" w14:textId="77777777" w:rsidR="00FA1D9C" w:rsidRPr="00FA1D9C" w:rsidRDefault="00FA1D9C" w:rsidP="00173520">
            <w:pPr>
              <w:keepNext/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Altro inattivo (casalinga/o, benestante o altro)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F9FB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DC70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1.485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8EBF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4254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5D9D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4CB7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1.518</w:t>
            </w:r>
          </w:p>
        </w:tc>
      </w:tr>
      <w:tr w:rsidR="004023A0" w:rsidRPr="00C26308" w14:paraId="7AF68B58" w14:textId="77777777" w:rsidTr="00153022">
        <w:trPr>
          <w:trHeight w:val="283"/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24FB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F9B35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5.425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1AEC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5.608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F7AF9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4.444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D4E84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2.271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FBCD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4.318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C18A" w14:textId="77777777" w:rsidR="00FA1D9C" w:rsidRPr="00FA1D9C" w:rsidRDefault="00FA1D9C" w:rsidP="00173520">
            <w:pPr>
              <w:keepNext/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11.033</w:t>
            </w:r>
          </w:p>
        </w:tc>
      </w:tr>
      <w:tr w:rsidR="004023A0" w:rsidRPr="00C26308" w14:paraId="53D37E09" w14:textId="77777777" w:rsidTr="00153022">
        <w:trPr>
          <w:trHeight w:val="283"/>
          <w:jc w:val="center"/>
        </w:trPr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A25B" w14:textId="77777777" w:rsidR="00FA1D9C" w:rsidRPr="00FA1D9C" w:rsidRDefault="00FA1D9C" w:rsidP="00173520">
            <w:pPr>
              <w:keepNext/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Lavoratore dipendente con inquadramento inferiore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72C6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39,5%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D71E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32,3%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74C9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41,7%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2985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38,9%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BFBD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28,3%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8935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35,9%</w:t>
            </w:r>
          </w:p>
        </w:tc>
      </w:tr>
      <w:tr w:rsidR="004023A0" w:rsidRPr="00C26308" w14:paraId="33508AC2" w14:textId="77777777" w:rsidTr="00153022">
        <w:trPr>
          <w:trHeight w:val="283"/>
          <w:jc w:val="center"/>
        </w:trPr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F98E" w14:textId="77777777" w:rsidR="00FA1D9C" w:rsidRPr="00FA1D9C" w:rsidRDefault="00FA1D9C" w:rsidP="00173520">
            <w:pPr>
              <w:keepNext/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Lavoratore dipendente quadro/dirigente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B812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4B35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DA5E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15C4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D1A6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B826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2,9%</w:t>
            </w:r>
          </w:p>
        </w:tc>
      </w:tr>
      <w:tr w:rsidR="004023A0" w:rsidRPr="00C26308" w14:paraId="1F85E696" w14:textId="77777777" w:rsidTr="00153022">
        <w:trPr>
          <w:trHeight w:val="283"/>
          <w:jc w:val="center"/>
        </w:trPr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FF2E" w14:textId="77777777" w:rsidR="00FA1D9C" w:rsidRPr="00FA1D9C" w:rsidRDefault="00FA1D9C" w:rsidP="00173520">
            <w:pPr>
              <w:keepNext/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Lavoratore indipendente o atipico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6538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12,7%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098F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823A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A54A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E6E5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9EF5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9,1%</w:t>
            </w:r>
          </w:p>
        </w:tc>
      </w:tr>
      <w:tr w:rsidR="004023A0" w:rsidRPr="00C26308" w14:paraId="0203C94B" w14:textId="77777777" w:rsidTr="00153022">
        <w:trPr>
          <w:trHeight w:val="283"/>
          <w:jc w:val="center"/>
        </w:trPr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D5B4" w14:textId="77777777" w:rsidR="00FA1D9C" w:rsidRPr="00FA1D9C" w:rsidRDefault="00FA1D9C" w:rsidP="00173520">
            <w:pPr>
              <w:keepNext/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Disoccupato o in cerca di prima occupazione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4E57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15,6%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5014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B507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7,3%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BC5C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0810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20,1%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2434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12,9%</w:t>
            </w:r>
          </w:p>
        </w:tc>
      </w:tr>
      <w:tr w:rsidR="004023A0" w:rsidRPr="00C26308" w14:paraId="6BA42B68" w14:textId="77777777" w:rsidTr="00153022">
        <w:trPr>
          <w:trHeight w:val="283"/>
          <w:jc w:val="center"/>
        </w:trPr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F306" w14:textId="77777777" w:rsidR="00FA1D9C" w:rsidRPr="00FA1D9C" w:rsidRDefault="00FA1D9C" w:rsidP="00173520">
            <w:pPr>
              <w:keepNext/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Pensionato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1089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21,2%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4312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16,9%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C135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21,3%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0CE2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21,6%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130B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15,2%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57C6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19,0%</w:t>
            </w:r>
          </w:p>
        </w:tc>
      </w:tr>
      <w:tr w:rsidR="004023A0" w:rsidRPr="00C26308" w14:paraId="6C2FCC2C" w14:textId="77777777" w:rsidTr="00153022">
        <w:trPr>
          <w:trHeight w:val="283"/>
          <w:jc w:val="center"/>
        </w:trPr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24E1" w14:textId="77777777" w:rsidR="00FA1D9C" w:rsidRPr="00FA1D9C" w:rsidRDefault="00FA1D9C" w:rsidP="00173520">
            <w:pPr>
              <w:keepNext/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Studente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7505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443E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C914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D3D8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B533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340D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6,5%</w:t>
            </w:r>
          </w:p>
        </w:tc>
      </w:tr>
      <w:tr w:rsidR="004023A0" w:rsidRPr="00C26308" w14:paraId="6F88658E" w14:textId="77777777" w:rsidTr="00153022">
        <w:trPr>
          <w:trHeight w:val="283"/>
          <w:jc w:val="center"/>
        </w:trPr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965F" w14:textId="77777777" w:rsidR="00FA1D9C" w:rsidRPr="00FA1D9C" w:rsidRDefault="00FA1D9C" w:rsidP="00173520">
            <w:pPr>
              <w:keepNext/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color w:val="000000"/>
                <w:sz w:val="20"/>
                <w:szCs w:val="20"/>
              </w:rPr>
              <w:t>Altro inattivo (casalinga/o, benestante o altro)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5AA8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B5F3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26,5%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0531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0171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2152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20,5%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1564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13,8%</w:t>
            </w:r>
          </w:p>
        </w:tc>
      </w:tr>
      <w:tr w:rsidR="004023A0" w:rsidRPr="00C26308" w14:paraId="782ACC21" w14:textId="77777777" w:rsidTr="00153022">
        <w:trPr>
          <w:trHeight w:val="283"/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FCAF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6A868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67A9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09BFA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CC100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0E85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BEE8" w14:textId="77777777" w:rsidR="00FA1D9C" w:rsidRPr="00FA1D9C" w:rsidRDefault="00FA1D9C" w:rsidP="00173520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1D9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100,0%</w:t>
            </w:r>
          </w:p>
        </w:tc>
      </w:tr>
    </w:tbl>
    <w:p w14:paraId="43094B29" w14:textId="571FAF7A" w:rsidR="00FA1D9C" w:rsidRDefault="00FA1D9C" w:rsidP="00D20EAB"/>
    <w:p w14:paraId="759BD154" w14:textId="0CCA3B09" w:rsidR="004E5274" w:rsidRDefault="004E5274" w:rsidP="00D20EAB">
      <w:r>
        <w:t xml:space="preserve">Con riguardo, </w:t>
      </w:r>
      <w:r w:rsidR="00A900D7">
        <w:t>infine</w:t>
      </w:r>
      <w:r>
        <w:t xml:space="preserve">, </w:t>
      </w:r>
      <w:r w:rsidR="00A762EA">
        <w:t>alle statistiche</w:t>
      </w:r>
      <w:r w:rsidR="00D111F1">
        <w:t xml:space="preserve"> per macroarea di residenza, la Tabella 2 </w:t>
      </w:r>
      <w:r w:rsidR="00A762EA">
        <w:t xml:space="preserve">evidenzia una composizione per condizione lavorativa molto simile </w:t>
      </w:r>
      <w:r w:rsidR="00A3343F">
        <w:t xml:space="preserve">tra Nord e Centro del Paese, </w:t>
      </w:r>
      <w:r w:rsidR="00595607">
        <w:t>ad eccezione di</w:t>
      </w:r>
      <w:r w:rsidR="00A3343F">
        <w:t xml:space="preserve"> una presenza lievemente maggiore </w:t>
      </w:r>
      <w:r w:rsidR="00595607">
        <w:t>di disoccupati in quest’ultima macroarea.</w:t>
      </w:r>
      <w:r w:rsidR="001339F8">
        <w:t xml:space="preserve"> Gli individui di 18-70 anni residenti nel Sud Italia, invece, emergono significativamente </w:t>
      </w:r>
      <w:r w:rsidR="001607A2">
        <w:t>meno occupati (soprattutto tra i dipendenti con basso inquadramento professionale)</w:t>
      </w:r>
      <w:r w:rsidR="00E84BA1">
        <w:t xml:space="preserve"> e più disoccupati</w:t>
      </w:r>
      <w:r w:rsidR="000249B9">
        <w:t xml:space="preserve"> (il doppio di più in termini relativi rispetto </w:t>
      </w:r>
      <w:r w:rsidR="00A11598">
        <w:t>alle altre due macroaree)</w:t>
      </w:r>
      <w:r w:rsidR="00E84BA1">
        <w:t>.</w:t>
      </w:r>
      <w:r w:rsidR="00A11598">
        <w:t xml:space="preserve"> Inoltre, </w:t>
      </w:r>
      <w:r w:rsidR="00B8325A">
        <w:t>il Sud presenta la più elevata quota di inattivi diversi da pensionati e studenti al suo interno</w:t>
      </w:r>
      <w:r w:rsidR="0060460C">
        <w:t>, i quali rappresentano il 21%</w:t>
      </w:r>
      <w:r w:rsidR="00C04FEE">
        <w:t xml:space="preserve"> del totale degli individui e sono principalmente connessi allo stato di inattività </w:t>
      </w:r>
      <w:r w:rsidR="00626AC4">
        <w:t>femminile.</w:t>
      </w:r>
      <w:r w:rsidR="004D7575">
        <w:t xml:space="preserve"> Unica nota positiva potrebbe </w:t>
      </w:r>
      <w:r w:rsidR="00940960">
        <w:t>risiedere</w:t>
      </w:r>
      <w:r w:rsidR="004D7575">
        <w:t xml:space="preserve"> </w:t>
      </w:r>
      <w:r w:rsidR="00940960">
        <w:t>nel</w:t>
      </w:r>
      <w:r w:rsidR="004D7575">
        <w:t>la percentuale di studenti</w:t>
      </w:r>
      <w:r w:rsidR="009E34CA">
        <w:t xml:space="preserve"> sul totale,</w:t>
      </w:r>
      <w:r w:rsidR="004D7575">
        <w:t xml:space="preserve"> che al Sud </w:t>
      </w:r>
      <w:r w:rsidR="00C96F9C">
        <w:t>è simile a quelle di Nord e Centro</w:t>
      </w:r>
      <w:r w:rsidR="009E34CA">
        <w:t>. Questo</w:t>
      </w:r>
      <w:r w:rsidR="00C96F9C">
        <w:t xml:space="preserve"> lascia sperare </w:t>
      </w:r>
      <w:r w:rsidR="00DC053D">
        <w:t>in una crescita</w:t>
      </w:r>
      <w:r w:rsidR="00B25DDE">
        <w:t xml:space="preserve"> futura</w:t>
      </w:r>
      <w:r w:rsidR="00DC053D">
        <w:t xml:space="preserve"> delle figure lavorative</w:t>
      </w:r>
      <w:r w:rsidR="00B25DDE">
        <w:t xml:space="preserve"> altamente</w:t>
      </w:r>
      <w:r w:rsidR="00DC053D">
        <w:t xml:space="preserve"> qualificate in questa </w:t>
      </w:r>
      <w:r w:rsidR="009E34CA">
        <w:t>macro</w:t>
      </w:r>
      <w:r w:rsidR="00DC053D">
        <w:t>area</w:t>
      </w:r>
      <w:r w:rsidR="009E34CA">
        <w:t xml:space="preserve">, sebbene </w:t>
      </w:r>
      <w:r w:rsidR="00643190">
        <w:t xml:space="preserve">parte di ciò potrebbe </w:t>
      </w:r>
      <w:r w:rsidR="002016BF">
        <w:t>essere spiegato dal cosiddetto “effetto parcheggio” (</w:t>
      </w:r>
      <w:r w:rsidR="00FE528D" w:rsidRPr="00FE528D">
        <w:t>n.d.r.</w:t>
      </w:r>
      <w:r w:rsidR="00B327AB">
        <w:t>:</w:t>
      </w:r>
      <w:r w:rsidR="007F1F14">
        <w:t xml:space="preserve"> </w:t>
      </w:r>
      <w:r w:rsidR="00C959EE">
        <w:t>è nota nella letteratura economica la tendenza</w:t>
      </w:r>
      <w:r w:rsidR="00F35144">
        <w:t xml:space="preserve"> </w:t>
      </w:r>
      <w:r w:rsidR="00F35144">
        <w:t>ad iscriversi con maggiore probabilità all’università</w:t>
      </w:r>
      <w:r w:rsidR="00F35144">
        <w:t xml:space="preserve"> </w:t>
      </w:r>
      <w:r w:rsidR="007F1F14">
        <w:t>quando si</w:t>
      </w:r>
      <w:r w:rsidR="00F35144">
        <w:t xml:space="preserve"> ha difficoltà nel</w:t>
      </w:r>
      <w:r w:rsidR="007F1F14">
        <w:t xml:space="preserve"> trova</w:t>
      </w:r>
      <w:r w:rsidR="00F35144">
        <w:t>re</w:t>
      </w:r>
      <w:r w:rsidR="007F1F14">
        <w:t xml:space="preserve"> lavoro)</w:t>
      </w:r>
      <w:r w:rsidR="00DC053D">
        <w:t>.</w:t>
      </w:r>
    </w:p>
    <w:p w14:paraId="3431B918" w14:textId="77777777" w:rsidR="00F42742" w:rsidRDefault="00F42742" w:rsidP="00D20EAB"/>
    <w:p w14:paraId="6057F798" w14:textId="77777777" w:rsidR="00F35144" w:rsidRDefault="00F35144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0EED8FA1" w14:textId="45476E1C" w:rsidR="00772256" w:rsidRDefault="00772256" w:rsidP="00802187">
      <w:pPr>
        <w:pStyle w:val="Titolo1"/>
      </w:pPr>
      <w:r>
        <w:lastRenderedPageBreak/>
        <w:t>(Sezione B)</w:t>
      </w:r>
    </w:p>
    <w:p w14:paraId="4DA3A5C8" w14:textId="01D3B1CA" w:rsidR="00772256" w:rsidRDefault="004F666D" w:rsidP="00D20EAB">
      <w:pPr>
        <w:rPr>
          <w:b/>
          <w:color w:val="4472C4" w:themeColor="accent1"/>
          <w:u w:val="single"/>
        </w:rPr>
      </w:pPr>
      <w:r w:rsidRPr="00B85A3F">
        <w:rPr>
          <w:color w:val="4472C4" w:themeColor="accent1"/>
        </w:rPr>
        <w:t xml:space="preserve">Facendo riferimento alla variabile CLETA5 nel dataset di microdati SHIW 2016, si illustri la composizione della popolazione italiana per classe d’età. Nel caso in cui si applichino i pesi campionari, la composizione per classe d’età cambia? E la composizione della popolazione per cittadinanza? Se sì, in entrambi i casi, si provi a spiegare il perché. </w:t>
      </w:r>
      <w:r w:rsidRPr="00B85A3F">
        <w:rPr>
          <w:b/>
          <w:color w:val="4472C4" w:themeColor="accent1"/>
          <w:u w:val="single"/>
        </w:rPr>
        <w:t>Max 400 parole</w:t>
      </w:r>
    </w:p>
    <w:p w14:paraId="31585512" w14:textId="24C46058" w:rsidR="00802187" w:rsidRDefault="00802187" w:rsidP="00D20EAB">
      <w:pPr>
        <w:rPr>
          <w:color w:val="4472C4" w:themeColor="accent1"/>
        </w:rPr>
      </w:pPr>
    </w:p>
    <w:p w14:paraId="1CB0E16B" w14:textId="160A690D" w:rsidR="00802187" w:rsidRDefault="00BF0277" w:rsidP="00D20EAB">
      <w:r>
        <w:t>I dati provenienti dell’indagine SHIW della Banca d’Italia per l’anno 2016</w:t>
      </w:r>
      <w:r w:rsidR="005974B3">
        <w:t xml:space="preserve"> </w:t>
      </w:r>
      <w:r w:rsidR="003215D8">
        <w:t>mettono in luce una popolazione</w:t>
      </w:r>
      <w:r w:rsidR="008A55DE">
        <w:t xml:space="preserve"> </w:t>
      </w:r>
      <w:r w:rsidR="005E401E">
        <w:t>particolarmente anziana nel nostro Paese, se si tiene conto che la metà</w:t>
      </w:r>
      <w:r w:rsidR="00AF45C1">
        <w:t xml:space="preserve"> circa</w:t>
      </w:r>
      <w:r w:rsidR="005E401E">
        <w:t xml:space="preserve"> degli individui hanno 55 anni o più</w:t>
      </w:r>
      <w:r w:rsidR="00AF45C1">
        <w:t xml:space="preserve"> e che quasi uno su tre </w:t>
      </w:r>
      <w:r w:rsidR="005463CF">
        <w:t>è un over65enne</w:t>
      </w:r>
      <w:r w:rsidR="005E401E">
        <w:t xml:space="preserve"> (Tabella 3).</w:t>
      </w:r>
      <w:r w:rsidR="005463CF">
        <w:t xml:space="preserve"> </w:t>
      </w:r>
      <w:r w:rsidR="00B91FA3">
        <w:t xml:space="preserve">I giovani, ovvero coloro </w:t>
      </w:r>
      <w:r w:rsidR="00057556">
        <w:t xml:space="preserve">aventi un’età pari a 34 anni o inferiore, rappresentano solo il 27% della popolazione, </w:t>
      </w:r>
      <w:r w:rsidR="00F56EEB">
        <w:t>mentre le due classi d’età centrali (35-44 e 45-54 anni) pesano rispettivamente per il 10 e il 15% del totale.</w:t>
      </w:r>
    </w:p>
    <w:p w14:paraId="334AD0B3" w14:textId="77777777" w:rsidR="00BF0277" w:rsidRDefault="00BF0277" w:rsidP="00D20EAB"/>
    <w:p w14:paraId="7C93C827" w14:textId="448E9AD1" w:rsidR="00E15A95" w:rsidRPr="00FA57B2" w:rsidRDefault="00E15A95" w:rsidP="006A2763">
      <w:pPr>
        <w:pStyle w:val="Titolo2"/>
      </w:pPr>
      <w:r w:rsidRPr="00FA57B2">
        <w:t xml:space="preserve">Tabella </w:t>
      </w:r>
      <w:r>
        <w:t>3</w:t>
      </w:r>
      <w:r w:rsidRPr="00FA57B2">
        <w:t xml:space="preserve"> – </w:t>
      </w:r>
      <w:r w:rsidR="0059636B">
        <w:t>Composizione per classe d’età della popolazione italiana</w:t>
      </w:r>
      <w:r w:rsidRPr="00FA57B2">
        <w:t xml:space="preserve"> nel 2016</w:t>
      </w: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058"/>
        <w:gridCol w:w="1182"/>
        <w:gridCol w:w="1058"/>
        <w:gridCol w:w="1182"/>
      </w:tblGrid>
      <w:tr w:rsidR="00E15A95" w:rsidRPr="00E15A95" w14:paraId="3A11F804" w14:textId="77777777" w:rsidTr="00E15A95">
        <w:trPr>
          <w:trHeight w:val="30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9D75" w14:textId="77777777" w:rsidR="00E15A95" w:rsidRPr="00E15A95" w:rsidRDefault="00E15A95" w:rsidP="00E15A9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  <w:t>Classe d'età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46D5E" w14:textId="77777777" w:rsidR="00E15A95" w:rsidRPr="00E15A95" w:rsidRDefault="00E15A95" w:rsidP="00E15A9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  <w:t>Campione non pesato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47D25" w14:textId="77777777" w:rsidR="00E15A95" w:rsidRPr="00E15A95" w:rsidRDefault="00E15A95" w:rsidP="00E15A9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  <w:t>Campione pesato</w:t>
            </w:r>
          </w:p>
        </w:tc>
      </w:tr>
      <w:tr w:rsidR="00E15A95" w:rsidRPr="00E15A95" w14:paraId="26B8C350" w14:textId="77777777" w:rsidTr="00E15A95">
        <w:trPr>
          <w:trHeight w:val="30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489CB" w14:textId="77777777" w:rsidR="00E15A95" w:rsidRPr="00E15A95" w:rsidRDefault="00E15A95" w:rsidP="00E15A9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1081" w14:textId="77777777" w:rsidR="00E15A95" w:rsidRPr="00E15A95" w:rsidRDefault="00E15A95" w:rsidP="00E15A9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03F2" w14:textId="77777777" w:rsidR="00E15A95" w:rsidRPr="00E15A95" w:rsidRDefault="00E15A95" w:rsidP="00E15A9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  <w:t>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4802" w14:textId="77777777" w:rsidR="00E15A95" w:rsidRPr="00E15A95" w:rsidRDefault="00E15A95" w:rsidP="00E15A9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608D" w14:textId="77777777" w:rsidR="00E15A95" w:rsidRPr="00E15A95" w:rsidRDefault="00E15A95" w:rsidP="00E15A9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  <w:t>%</w:t>
            </w:r>
          </w:p>
        </w:tc>
      </w:tr>
      <w:tr w:rsidR="00E15A95" w:rsidRPr="00E15A95" w14:paraId="4C7B7BD8" w14:textId="77777777" w:rsidTr="00E15A95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8F7C" w14:textId="77777777" w:rsidR="00E15A95" w:rsidRPr="00E15A95" w:rsidRDefault="00E15A95" w:rsidP="00E15A95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color w:val="000000"/>
                <w:sz w:val="22"/>
                <w:lang w:eastAsia="it-IT"/>
              </w:rPr>
              <w:t>Fino a 34 anni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3D18" w14:textId="77777777" w:rsidR="00E15A95" w:rsidRPr="00E15A95" w:rsidRDefault="00E15A95" w:rsidP="00E15A95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color w:val="000000"/>
                <w:sz w:val="22"/>
                <w:lang w:eastAsia="it-IT"/>
              </w:rPr>
              <w:t>4.389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B2A3" w14:textId="77777777" w:rsidR="00E15A95" w:rsidRPr="00E15A95" w:rsidRDefault="00E15A95" w:rsidP="00E15A95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>26,7%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E6CA" w14:textId="77777777" w:rsidR="00E15A95" w:rsidRPr="00E15A95" w:rsidRDefault="00E15A95" w:rsidP="00E15A95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color w:val="000000"/>
                <w:sz w:val="22"/>
                <w:lang w:eastAsia="it-IT"/>
              </w:rPr>
              <w:t>5.530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A97A" w14:textId="77777777" w:rsidR="00E15A95" w:rsidRPr="00E15A95" w:rsidRDefault="00E15A95" w:rsidP="00E15A95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>33,6%</w:t>
            </w:r>
          </w:p>
        </w:tc>
      </w:tr>
      <w:tr w:rsidR="00E15A95" w:rsidRPr="00E15A95" w14:paraId="4CC433ED" w14:textId="77777777" w:rsidTr="00E15A95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F518" w14:textId="77777777" w:rsidR="00E15A95" w:rsidRPr="00E15A95" w:rsidRDefault="00E15A95" w:rsidP="00E15A95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color w:val="000000"/>
                <w:sz w:val="22"/>
                <w:lang w:eastAsia="it-IT"/>
              </w:rPr>
              <w:t>35-44 anni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7B94" w14:textId="77777777" w:rsidR="00E15A95" w:rsidRPr="00E15A95" w:rsidRDefault="00E15A95" w:rsidP="00E15A95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color w:val="000000"/>
                <w:sz w:val="22"/>
                <w:lang w:eastAsia="it-IT"/>
              </w:rPr>
              <w:t>1.617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98C9" w14:textId="77777777" w:rsidR="00E15A95" w:rsidRPr="00E15A95" w:rsidRDefault="00E15A95" w:rsidP="00E15A95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>9,8%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D74" w14:textId="77777777" w:rsidR="00E15A95" w:rsidRPr="00E15A95" w:rsidRDefault="00E15A95" w:rsidP="00E15A95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color w:val="000000"/>
                <w:sz w:val="22"/>
                <w:lang w:eastAsia="it-IT"/>
              </w:rPr>
              <w:t>2.273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BB16" w14:textId="77777777" w:rsidR="00E15A95" w:rsidRPr="00E15A95" w:rsidRDefault="00E15A95" w:rsidP="00E15A95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>13,8%</w:t>
            </w:r>
          </w:p>
        </w:tc>
      </w:tr>
      <w:tr w:rsidR="00E15A95" w:rsidRPr="00E15A95" w14:paraId="21FF2709" w14:textId="77777777" w:rsidTr="00E15A95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EB88" w14:textId="77777777" w:rsidR="00E15A95" w:rsidRPr="00E15A95" w:rsidRDefault="00E15A95" w:rsidP="00E15A95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color w:val="000000"/>
                <w:sz w:val="22"/>
                <w:lang w:eastAsia="it-IT"/>
              </w:rPr>
              <w:t>45-54 anni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917A" w14:textId="77777777" w:rsidR="00E15A95" w:rsidRPr="00E15A95" w:rsidRDefault="00E15A95" w:rsidP="00E15A95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color w:val="000000"/>
                <w:sz w:val="22"/>
                <w:lang w:eastAsia="it-IT"/>
              </w:rPr>
              <w:t>2.501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E3B0" w14:textId="77777777" w:rsidR="00E15A95" w:rsidRPr="00E15A95" w:rsidRDefault="00E15A95" w:rsidP="00E15A95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>15,2%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C621" w14:textId="77777777" w:rsidR="00E15A95" w:rsidRPr="00E15A95" w:rsidRDefault="00E15A95" w:rsidP="00E15A95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color w:val="000000"/>
                <w:sz w:val="22"/>
                <w:lang w:eastAsia="it-IT"/>
              </w:rPr>
              <w:t>2.706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CF1C" w14:textId="77777777" w:rsidR="00E15A95" w:rsidRPr="00E15A95" w:rsidRDefault="00E15A95" w:rsidP="00E15A95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>16,4%</w:t>
            </w:r>
          </w:p>
        </w:tc>
      </w:tr>
      <w:tr w:rsidR="00E15A95" w:rsidRPr="00E15A95" w14:paraId="27916E44" w14:textId="77777777" w:rsidTr="00E15A95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5125" w14:textId="77777777" w:rsidR="00E15A95" w:rsidRPr="00E15A95" w:rsidRDefault="00E15A95" w:rsidP="00E15A95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color w:val="000000"/>
                <w:sz w:val="22"/>
                <w:lang w:eastAsia="it-IT"/>
              </w:rPr>
              <w:t>55-64 anni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E038" w14:textId="77777777" w:rsidR="00E15A95" w:rsidRPr="00E15A95" w:rsidRDefault="00E15A95" w:rsidP="00E15A95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color w:val="000000"/>
                <w:sz w:val="22"/>
                <w:lang w:eastAsia="it-IT"/>
              </w:rPr>
              <w:t>2.707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8DC6" w14:textId="77777777" w:rsidR="00E15A95" w:rsidRPr="00E15A95" w:rsidRDefault="00E15A95" w:rsidP="00E15A95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>16,4%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BF11" w14:textId="77777777" w:rsidR="00E15A95" w:rsidRPr="00E15A95" w:rsidRDefault="00E15A95" w:rsidP="00E15A95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color w:val="000000"/>
                <w:sz w:val="22"/>
                <w:lang w:eastAsia="it-IT"/>
              </w:rPr>
              <w:t>2.215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DCB8" w14:textId="77777777" w:rsidR="00E15A95" w:rsidRPr="00E15A95" w:rsidRDefault="00E15A95" w:rsidP="00E15A95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>13,5%</w:t>
            </w:r>
          </w:p>
        </w:tc>
      </w:tr>
      <w:tr w:rsidR="00E15A95" w:rsidRPr="00E15A95" w14:paraId="1F560DD2" w14:textId="77777777" w:rsidTr="00E15A95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DE01" w14:textId="77777777" w:rsidR="00E15A95" w:rsidRPr="00E15A95" w:rsidRDefault="00E15A95" w:rsidP="00E15A95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color w:val="000000"/>
                <w:sz w:val="22"/>
                <w:lang w:eastAsia="it-IT"/>
              </w:rPr>
              <w:t>65 anni e oltre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81C9" w14:textId="77777777" w:rsidR="00E15A95" w:rsidRPr="00E15A95" w:rsidRDefault="00E15A95" w:rsidP="00E15A95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color w:val="000000"/>
                <w:sz w:val="22"/>
                <w:lang w:eastAsia="it-IT"/>
              </w:rPr>
              <w:t>5.250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E96B" w14:textId="77777777" w:rsidR="00E15A95" w:rsidRPr="00E15A95" w:rsidRDefault="00E15A95" w:rsidP="00E15A95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>31,9%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68D7" w14:textId="77777777" w:rsidR="00E15A95" w:rsidRPr="00E15A95" w:rsidRDefault="00E15A95" w:rsidP="00E15A95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color w:val="000000"/>
                <w:sz w:val="22"/>
                <w:lang w:eastAsia="it-IT"/>
              </w:rPr>
              <w:t>3.740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D812" w14:textId="77777777" w:rsidR="00E15A95" w:rsidRPr="00E15A95" w:rsidRDefault="00E15A95" w:rsidP="00E15A95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>22,7%</w:t>
            </w:r>
          </w:p>
        </w:tc>
      </w:tr>
      <w:tr w:rsidR="00E15A95" w:rsidRPr="00E15A95" w14:paraId="4566B90D" w14:textId="77777777" w:rsidTr="00E15A95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FE9D" w14:textId="77777777" w:rsidR="00E15A95" w:rsidRPr="00E15A95" w:rsidRDefault="00E15A95" w:rsidP="00E15A9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  <w:t>Totale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B841" w14:textId="77777777" w:rsidR="00E15A95" w:rsidRPr="00E15A95" w:rsidRDefault="00E15A95" w:rsidP="00E15A9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  <w:t>16.464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930A" w14:textId="77777777" w:rsidR="00E15A95" w:rsidRPr="00E15A95" w:rsidRDefault="00E15A95" w:rsidP="00E15A95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it-IT"/>
              </w:rPr>
              <w:t>100,0%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E961" w14:textId="77777777" w:rsidR="00E15A95" w:rsidRPr="00E15A95" w:rsidRDefault="00E15A95" w:rsidP="00E15A9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  <w:t>16.464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2D17" w14:textId="77777777" w:rsidR="00E15A95" w:rsidRPr="00E15A95" w:rsidRDefault="00E15A95" w:rsidP="00E15A95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it-IT"/>
              </w:rPr>
            </w:pPr>
            <w:r w:rsidRPr="00E15A9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it-IT"/>
              </w:rPr>
              <w:t>100,0%</w:t>
            </w:r>
          </w:p>
        </w:tc>
      </w:tr>
    </w:tbl>
    <w:p w14:paraId="1A82C6A7" w14:textId="574793CA" w:rsidR="00E15A95" w:rsidRDefault="00E15A95" w:rsidP="00D20EAB"/>
    <w:p w14:paraId="6FFD9880" w14:textId="02F6105D" w:rsidR="00AA0B22" w:rsidRDefault="00AA0B22" w:rsidP="00D20EAB">
      <w:r>
        <w:t>Non essendo quest</w:t>
      </w:r>
      <w:r w:rsidR="009A6EBB">
        <w:t>e</w:t>
      </w:r>
      <w:r>
        <w:t xml:space="preserve"> statistic</w:t>
      </w:r>
      <w:r w:rsidR="009A6EBB">
        <w:t>he</w:t>
      </w:r>
      <w:r>
        <w:t xml:space="preserve"> estratt</w:t>
      </w:r>
      <w:r w:rsidR="009A6EBB">
        <w:t>e</w:t>
      </w:r>
      <w:r>
        <w:t xml:space="preserve"> da un censimento della popolazione nazionale bensì da un’indagine campionaria</w:t>
      </w:r>
      <w:r w:rsidR="00E00252">
        <w:t xml:space="preserve">, tuttavia, </w:t>
      </w:r>
      <w:r w:rsidR="00B06D01">
        <w:t>la loro</w:t>
      </w:r>
      <w:r w:rsidR="00714B4A">
        <w:t xml:space="preserve"> perfetta </w:t>
      </w:r>
      <w:r w:rsidR="00AB7833">
        <w:t xml:space="preserve">rappresentatività della popolazione di riferimento potrebbe non essere garantita. </w:t>
      </w:r>
      <w:r w:rsidR="003275DA">
        <w:t>La probabilità di non essere</w:t>
      </w:r>
      <w:r w:rsidR="000C2DC9">
        <w:t xml:space="preserve"> intervistato, ossia di non essere</w:t>
      </w:r>
      <w:r w:rsidR="003275DA">
        <w:t xml:space="preserve"> incluso in un </w:t>
      </w:r>
      <w:r w:rsidR="000C2DC9">
        <w:t>campione</w:t>
      </w:r>
      <w:r w:rsidR="00914C9D">
        <w:t xml:space="preserve">, non si può dire infatti trasversale alla popolazione, ma assume dimensioni molto diverse tra una categoria </w:t>
      </w:r>
      <w:proofErr w:type="gramStart"/>
      <w:r w:rsidR="00A8410A">
        <w:t>socio-economica</w:t>
      </w:r>
      <w:proofErr w:type="gramEnd"/>
      <w:r w:rsidR="00192189">
        <w:t xml:space="preserve"> e l’altra.</w:t>
      </w:r>
      <w:r w:rsidR="0051162C">
        <w:t xml:space="preserve"> </w:t>
      </w:r>
      <w:r w:rsidR="00E07008">
        <w:t xml:space="preserve">Numerosi studi dimostrano </w:t>
      </w:r>
      <w:r w:rsidR="00F800EC">
        <w:t>che, ad esempio, gli anziani</w:t>
      </w:r>
      <w:r w:rsidR="00A8410A">
        <w:t>,</w:t>
      </w:r>
      <w:r w:rsidR="00F800EC">
        <w:t xml:space="preserve"> le donne</w:t>
      </w:r>
      <w:r w:rsidR="00A8410A">
        <w:t xml:space="preserve"> e gli individui con un elevato livello di educazione</w:t>
      </w:r>
      <w:r w:rsidR="00F800EC">
        <w:t xml:space="preserve"> tendono ad essere più comprensivi e disponibili al</w:t>
      </w:r>
      <w:r w:rsidR="001314B2">
        <w:t xml:space="preserve"> farsi intervistare per un’indagine campionaria avente scop</w:t>
      </w:r>
      <w:r w:rsidR="00EC449B">
        <w:t xml:space="preserve">o di ricerca e statistica. Allo stesso modo, </w:t>
      </w:r>
      <w:r w:rsidR="007D061A">
        <w:t>gli stranieri tendono ad essere meno inclusi nei campioni delle indagini perché spesso fuori casa</w:t>
      </w:r>
      <w:r w:rsidR="00D13F1A">
        <w:t xml:space="preserve"> per lavoro, per difficoltà con la lingua locale, oppure ancora </w:t>
      </w:r>
      <w:r w:rsidR="0009466D">
        <w:t>per la tendenza a non adempiere prontamente alle procedure per il cambio di residenza.</w:t>
      </w:r>
    </w:p>
    <w:p w14:paraId="34DE7091" w14:textId="619BD354" w:rsidR="00A8410A" w:rsidRDefault="00A8410A" w:rsidP="00D20EAB">
      <w:r>
        <w:t xml:space="preserve">L’applicazione dei pesi campionari alle statistiche descrittive o </w:t>
      </w:r>
      <w:r w:rsidR="00741BCB">
        <w:t>alle analisi econometriche basate su dati campionari migliora</w:t>
      </w:r>
      <w:r w:rsidR="008749EF">
        <w:t xml:space="preserve"> </w:t>
      </w:r>
      <w:r w:rsidR="00741BCB">
        <w:t>sensibilmente l’attendibilità de</w:t>
      </w:r>
      <w:r w:rsidR="00AB4B36">
        <w:t>lle stesse perché rendono in modo artificiale il campione più rappresentativo della popolazione di riferimento.</w:t>
      </w:r>
      <w:r w:rsidR="008749EF">
        <w:t xml:space="preserve"> Le ultime due colonne della Tabella 3 mostrano che </w:t>
      </w:r>
      <w:r w:rsidR="00BF2FB7">
        <w:t xml:space="preserve">i pesi </w:t>
      </w:r>
      <w:r w:rsidR="00013FFD">
        <w:t>campionari ridimensionano molto il peso degli individui ove</w:t>
      </w:r>
      <w:r w:rsidR="0048179F">
        <w:t>r65 nel totale (dal 32 al 23%)</w:t>
      </w:r>
      <w:r w:rsidR="004850FE">
        <w:t>, mentre incrementano notevolmente la presenza relativa dei giovani</w:t>
      </w:r>
      <w:r w:rsidR="000E28DF">
        <w:t xml:space="preserve"> nella popolazione, adesso pari al 34%.</w:t>
      </w:r>
      <w:r w:rsidR="008265F5">
        <w:t xml:space="preserve"> Similmente avviene quando si va ad osservare su dati campionari la composizione per cittadinanza della popolazione</w:t>
      </w:r>
      <w:r w:rsidR="00EB19BA">
        <w:t xml:space="preserve"> (Tabella 4). In assenza di applicazione dei pesi</w:t>
      </w:r>
      <w:r w:rsidR="008769E4">
        <w:t xml:space="preserve"> campionari</w:t>
      </w:r>
      <w:r w:rsidR="00EB19BA">
        <w:t xml:space="preserve">, infatti, la popolazione straniera rappresenta solamente il </w:t>
      </w:r>
      <w:r w:rsidR="004E0529">
        <w:t>4,5</w:t>
      </w:r>
      <w:r w:rsidR="00EB19BA">
        <w:t>%</w:t>
      </w:r>
      <w:r w:rsidR="004E0529">
        <w:t xml:space="preserve"> del totale, mentre invece </w:t>
      </w:r>
      <w:r w:rsidR="0018231D">
        <w:t xml:space="preserve">la sua incidenza relativa passa al 6% quando </w:t>
      </w:r>
      <w:r w:rsidR="008769E4">
        <w:t>le statistiche vengono pesate.</w:t>
      </w:r>
      <w:r w:rsidR="00EA1125">
        <w:t xml:space="preserve"> Si nota, tra l’altro, che i pesi forniti da Banca d’Italia non sono sufficienti </w:t>
      </w:r>
      <w:r w:rsidR="00BE5D40">
        <w:t xml:space="preserve">a rendere il campione pienamente rappresentativo della popolazione italiana dato che, secondo le statistiche ufficiali, gli stranieri residenti </w:t>
      </w:r>
      <w:r w:rsidR="009966C5">
        <w:t>nel nostro Paese</w:t>
      </w:r>
      <w:r w:rsidR="00BE5D40">
        <w:t xml:space="preserve"> </w:t>
      </w:r>
      <w:bookmarkStart w:id="0" w:name="_GoBack"/>
      <w:bookmarkEnd w:id="0"/>
      <w:r w:rsidR="00BE5D40">
        <w:t xml:space="preserve">sono circa </w:t>
      </w:r>
      <w:r w:rsidR="00FB4E58">
        <w:t>l’8,3% nel 2016.</w:t>
      </w:r>
    </w:p>
    <w:p w14:paraId="234AA4C8" w14:textId="77777777" w:rsidR="006A2763" w:rsidRDefault="006A2763" w:rsidP="00D20EAB"/>
    <w:p w14:paraId="15327E54" w14:textId="5EA863FB" w:rsidR="006A2763" w:rsidRPr="00FA57B2" w:rsidRDefault="006A2763" w:rsidP="006A2763">
      <w:pPr>
        <w:pStyle w:val="Titolo2"/>
      </w:pPr>
      <w:r w:rsidRPr="00FA57B2">
        <w:t xml:space="preserve">Tabella </w:t>
      </w:r>
      <w:r>
        <w:t>4</w:t>
      </w:r>
      <w:r w:rsidRPr="00FA57B2">
        <w:t xml:space="preserve"> – </w:t>
      </w:r>
      <w:r>
        <w:t xml:space="preserve">Composizione </w:t>
      </w:r>
      <w:r w:rsidRPr="006A2763">
        <w:t>per</w:t>
      </w:r>
      <w:r>
        <w:t xml:space="preserve"> </w:t>
      </w:r>
      <w:r>
        <w:t>cittadinanza italiana</w:t>
      </w:r>
      <w:r>
        <w:t xml:space="preserve"> della popolazione </w:t>
      </w:r>
      <w:r w:rsidRPr="00FA57B2">
        <w:t>nel 2016</w:t>
      </w: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058"/>
        <w:gridCol w:w="1182"/>
        <w:gridCol w:w="1058"/>
        <w:gridCol w:w="1182"/>
      </w:tblGrid>
      <w:tr w:rsidR="006A2763" w:rsidRPr="006A2763" w14:paraId="2726F6D7" w14:textId="77777777" w:rsidTr="006A2763">
        <w:trPr>
          <w:trHeight w:val="30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7D52" w14:textId="77777777" w:rsidR="006A2763" w:rsidRPr="006A2763" w:rsidRDefault="006A2763" w:rsidP="006A2763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</w:pPr>
            <w:r w:rsidRPr="006A2763"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  <w:t>Cittadinanza italiana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FAA3A" w14:textId="77777777" w:rsidR="006A2763" w:rsidRPr="006A2763" w:rsidRDefault="006A2763" w:rsidP="006A2763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</w:pPr>
            <w:r w:rsidRPr="006A2763"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  <w:t>Campione non pesato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23B3A" w14:textId="77777777" w:rsidR="006A2763" w:rsidRPr="006A2763" w:rsidRDefault="006A2763" w:rsidP="006A2763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</w:pPr>
            <w:r w:rsidRPr="006A2763"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  <w:t>Campione pesato</w:t>
            </w:r>
          </w:p>
        </w:tc>
      </w:tr>
      <w:tr w:rsidR="006A2763" w:rsidRPr="006A2763" w14:paraId="756EB968" w14:textId="77777777" w:rsidTr="006A2763">
        <w:trPr>
          <w:trHeight w:val="30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8569F" w14:textId="77777777" w:rsidR="006A2763" w:rsidRPr="006A2763" w:rsidRDefault="006A2763" w:rsidP="006A2763">
            <w:pPr>
              <w:keepNext/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D44D" w14:textId="77777777" w:rsidR="006A2763" w:rsidRPr="006A2763" w:rsidRDefault="006A2763" w:rsidP="006A2763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</w:pPr>
            <w:r w:rsidRPr="006A2763"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4CD6" w14:textId="77777777" w:rsidR="006A2763" w:rsidRPr="006A2763" w:rsidRDefault="006A2763" w:rsidP="006A2763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</w:pPr>
            <w:r w:rsidRPr="006A2763"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  <w:t>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96CB" w14:textId="77777777" w:rsidR="006A2763" w:rsidRPr="006A2763" w:rsidRDefault="006A2763" w:rsidP="006A2763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</w:pPr>
            <w:r w:rsidRPr="006A2763"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B6B3" w14:textId="77777777" w:rsidR="006A2763" w:rsidRPr="006A2763" w:rsidRDefault="006A2763" w:rsidP="006A2763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</w:pPr>
            <w:r w:rsidRPr="006A2763"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  <w:t>%</w:t>
            </w:r>
          </w:p>
        </w:tc>
      </w:tr>
      <w:tr w:rsidR="006A2763" w:rsidRPr="006A2763" w14:paraId="768D2B4E" w14:textId="77777777" w:rsidTr="006A276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B674" w14:textId="77777777" w:rsidR="006A2763" w:rsidRPr="006A2763" w:rsidRDefault="006A2763" w:rsidP="006A2763">
            <w:pPr>
              <w:keepNext/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proofErr w:type="gramStart"/>
            <w:r w:rsidRPr="006A2763">
              <w:rPr>
                <w:rFonts w:eastAsia="Times New Roman" w:cs="Times New Roman"/>
                <w:color w:val="000000"/>
                <w:sz w:val="22"/>
                <w:lang w:eastAsia="it-IT"/>
              </w:rPr>
              <w:t>Sì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5ABB" w14:textId="77777777" w:rsidR="006A2763" w:rsidRPr="006A2763" w:rsidRDefault="006A2763" w:rsidP="006A2763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6A2763">
              <w:rPr>
                <w:rFonts w:eastAsia="Times New Roman" w:cs="Times New Roman"/>
                <w:color w:val="000000"/>
                <w:sz w:val="22"/>
                <w:lang w:eastAsia="it-IT"/>
              </w:rPr>
              <w:t>15.725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8290" w14:textId="77777777" w:rsidR="006A2763" w:rsidRPr="006A2763" w:rsidRDefault="006A2763" w:rsidP="006A2763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</w:pPr>
            <w:r w:rsidRPr="006A2763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>95,5%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A4DC" w14:textId="77777777" w:rsidR="006A2763" w:rsidRPr="006A2763" w:rsidRDefault="006A2763" w:rsidP="006A2763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6A2763">
              <w:rPr>
                <w:rFonts w:eastAsia="Times New Roman" w:cs="Times New Roman"/>
                <w:color w:val="000000"/>
                <w:sz w:val="22"/>
                <w:lang w:eastAsia="it-IT"/>
              </w:rPr>
              <w:t>15.441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3788" w14:textId="77777777" w:rsidR="006A2763" w:rsidRPr="006A2763" w:rsidRDefault="006A2763" w:rsidP="006A2763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</w:pPr>
            <w:r w:rsidRPr="006A2763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>93,8%</w:t>
            </w:r>
          </w:p>
        </w:tc>
      </w:tr>
      <w:tr w:rsidR="006A2763" w:rsidRPr="006A2763" w14:paraId="0922C1A2" w14:textId="77777777" w:rsidTr="006A276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3371" w14:textId="77777777" w:rsidR="006A2763" w:rsidRPr="006A2763" w:rsidRDefault="006A2763" w:rsidP="006A2763">
            <w:pPr>
              <w:keepNext/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proofErr w:type="gramStart"/>
            <w:r w:rsidRPr="006A2763">
              <w:rPr>
                <w:rFonts w:eastAsia="Times New Roman" w:cs="Times New Roman"/>
                <w:color w:val="000000"/>
                <w:sz w:val="22"/>
                <w:lang w:eastAsia="it-IT"/>
              </w:rPr>
              <w:t>No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434C" w14:textId="77777777" w:rsidR="006A2763" w:rsidRPr="006A2763" w:rsidRDefault="006A2763" w:rsidP="006A2763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6A2763">
              <w:rPr>
                <w:rFonts w:eastAsia="Times New Roman" w:cs="Times New Roman"/>
                <w:color w:val="000000"/>
                <w:sz w:val="22"/>
                <w:lang w:eastAsia="it-IT"/>
              </w:rPr>
              <w:t>739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C53A" w14:textId="77777777" w:rsidR="006A2763" w:rsidRPr="006A2763" w:rsidRDefault="006A2763" w:rsidP="006A2763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</w:pPr>
            <w:r w:rsidRPr="006A2763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>4,5%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1D68" w14:textId="77777777" w:rsidR="006A2763" w:rsidRPr="006A2763" w:rsidRDefault="006A2763" w:rsidP="006A2763">
            <w:pPr>
              <w:keepNext/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6A2763">
              <w:rPr>
                <w:rFonts w:eastAsia="Times New Roman" w:cs="Times New Roman"/>
                <w:color w:val="000000"/>
                <w:sz w:val="22"/>
                <w:lang w:eastAsia="it-IT"/>
              </w:rPr>
              <w:t>1.023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08BA" w14:textId="77777777" w:rsidR="006A2763" w:rsidRPr="006A2763" w:rsidRDefault="006A2763" w:rsidP="006A2763">
            <w:pPr>
              <w:keepNext/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</w:pPr>
            <w:r w:rsidRPr="006A2763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>6,2%</w:t>
            </w:r>
          </w:p>
        </w:tc>
      </w:tr>
      <w:tr w:rsidR="006A2763" w:rsidRPr="006A2763" w14:paraId="77C1DDEA" w14:textId="77777777" w:rsidTr="006A2763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1336" w14:textId="77777777" w:rsidR="006A2763" w:rsidRPr="006A2763" w:rsidRDefault="006A2763" w:rsidP="006A2763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</w:pPr>
            <w:r w:rsidRPr="006A2763"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  <w:t>Totale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AA4D" w14:textId="77777777" w:rsidR="006A2763" w:rsidRPr="006A2763" w:rsidRDefault="006A2763" w:rsidP="006A2763">
            <w:pPr>
              <w:keepNext/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</w:pPr>
            <w:r w:rsidRPr="006A2763"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  <w:t>16.464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21D8" w14:textId="77777777" w:rsidR="006A2763" w:rsidRPr="006A2763" w:rsidRDefault="006A2763" w:rsidP="006A2763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it-IT"/>
              </w:rPr>
            </w:pPr>
            <w:r w:rsidRPr="006A276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it-IT"/>
              </w:rPr>
              <w:t>100,0%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1516" w14:textId="77777777" w:rsidR="006A2763" w:rsidRPr="006A2763" w:rsidRDefault="006A2763" w:rsidP="006A2763">
            <w:pPr>
              <w:keepNext/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</w:pPr>
            <w:r w:rsidRPr="006A2763">
              <w:rPr>
                <w:rFonts w:eastAsia="Times New Roman" w:cs="Times New Roman"/>
                <w:b/>
                <w:bCs/>
                <w:color w:val="000000"/>
                <w:sz w:val="22"/>
                <w:lang w:eastAsia="it-IT"/>
              </w:rPr>
              <w:t>16.464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E0FB" w14:textId="77777777" w:rsidR="006A2763" w:rsidRPr="006A2763" w:rsidRDefault="006A2763" w:rsidP="006A2763">
            <w:pPr>
              <w:keepNext/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it-IT"/>
              </w:rPr>
            </w:pPr>
            <w:r w:rsidRPr="006A276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it-IT"/>
              </w:rPr>
              <w:t>100,0%</w:t>
            </w:r>
          </w:p>
        </w:tc>
      </w:tr>
    </w:tbl>
    <w:p w14:paraId="420690B0" w14:textId="77777777" w:rsidR="006A2763" w:rsidRPr="00802187" w:rsidRDefault="006A2763" w:rsidP="00D20EAB"/>
    <w:sectPr w:rsidR="006A2763" w:rsidRPr="008021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F1"/>
    <w:rsid w:val="00013FFD"/>
    <w:rsid w:val="000249B9"/>
    <w:rsid w:val="0003271D"/>
    <w:rsid w:val="00057556"/>
    <w:rsid w:val="0009466D"/>
    <w:rsid w:val="000C2DC9"/>
    <w:rsid w:val="000C6B8B"/>
    <w:rsid w:val="000E28DF"/>
    <w:rsid w:val="00104BCB"/>
    <w:rsid w:val="00131452"/>
    <w:rsid w:val="001314B2"/>
    <w:rsid w:val="001339F8"/>
    <w:rsid w:val="001437EE"/>
    <w:rsid w:val="00153022"/>
    <w:rsid w:val="0015425D"/>
    <w:rsid w:val="001607A2"/>
    <w:rsid w:val="00173520"/>
    <w:rsid w:val="0018231D"/>
    <w:rsid w:val="00192189"/>
    <w:rsid w:val="001E3712"/>
    <w:rsid w:val="002016BF"/>
    <w:rsid w:val="002218C0"/>
    <w:rsid w:val="003215D8"/>
    <w:rsid w:val="003275DA"/>
    <w:rsid w:val="00363025"/>
    <w:rsid w:val="003A634E"/>
    <w:rsid w:val="003D7C59"/>
    <w:rsid w:val="004023A0"/>
    <w:rsid w:val="0048179F"/>
    <w:rsid w:val="004850FE"/>
    <w:rsid w:val="004A78F1"/>
    <w:rsid w:val="004D7575"/>
    <w:rsid w:val="004E0529"/>
    <w:rsid w:val="004E5274"/>
    <w:rsid w:val="004F666D"/>
    <w:rsid w:val="00502B71"/>
    <w:rsid w:val="0051162C"/>
    <w:rsid w:val="0054365E"/>
    <w:rsid w:val="005463CF"/>
    <w:rsid w:val="0055203A"/>
    <w:rsid w:val="00564A34"/>
    <w:rsid w:val="00567BE6"/>
    <w:rsid w:val="00567D59"/>
    <w:rsid w:val="005917BF"/>
    <w:rsid w:val="00595607"/>
    <w:rsid w:val="0059636B"/>
    <w:rsid w:val="005974B3"/>
    <w:rsid w:val="005B4F49"/>
    <w:rsid w:val="005D2DC5"/>
    <w:rsid w:val="005E401E"/>
    <w:rsid w:val="0060460C"/>
    <w:rsid w:val="00626AC4"/>
    <w:rsid w:val="00643190"/>
    <w:rsid w:val="00683D1C"/>
    <w:rsid w:val="006A2763"/>
    <w:rsid w:val="006A2889"/>
    <w:rsid w:val="00705F57"/>
    <w:rsid w:val="00714B4A"/>
    <w:rsid w:val="00741BCB"/>
    <w:rsid w:val="00742E1D"/>
    <w:rsid w:val="007620E7"/>
    <w:rsid w:val="00772256"/>
    <w:rsid w:val="00793A52"/>
    <w:rsid w:val="007A716F"/>
    <w:rsid w:val="007D061A"/>
    <w:rsid w:val="007F1F14"/>
    <w:rsid w:val="00802187"/>
    <w:rsid w:val="008265F5"/>
    <w:rsid w:val="008413DE"/>
    <w:rsid w:val="0087137A"/>
    <w:rsid w:val="008749EF"/>
    <w:rsid w:val="008769E4"/>
    <w:rsid w:val="008A55DE"/>
    <w:rsid w:val="00900081"/>
    <w:rsid w:val="00914C9D"/>
    <w:rsid w:val="009161D0"/>
    <w:rsid w:val="00925590"/>
    <w:rsid w:val="00940960"/>
    <w:rsid w:val="00950F8A"/>
    <w:rsid w:val="00972659"/>
    <w:rsid w:val="009938BD"/>
    <w:rsid w:val="009966C5"/>
    <w:rsid w:val="009A6EBB"/>
    <w:rsid w:val="009E34CA"/>
    <w:rsid w:val="009E53EC"/>
    <w:rsid w:val="00A11598"/>
    <w:rsid w:val="00A3343F"/>
    <w:rsid w:val="00A6784C"/>
    <w:rsid w:val="00A762EA"/>
    <w:rsid w:val="00A8410A"/>
    <w:rsid w:val="00A900D7"/>
    <w:rsid w:val="00AA0B22"/>
    <w:rsid w:val="00AB4B36"/>
    <w:rsid w:val="00AB7833"/>
    <w:rsid w:val="00AF3BDE"/>
    <w:rsid w:val="00AF45C1"/>
    <w:rsid w:val="00B03851"/>
    <w:rsid w:val="00B06D01"/>
    <w:rsid w:val="00B105AA"/>
    <w:rsid w:val="00B25DDE"/>
    <w:rsid w:val="00B327AB"/>
    <w:rsid w:val="00B70455"/>
    <w:rsid w:val="00B8325A"/>
    <w:rsid w:val="00B85A3F"/>
    <w:rsid w:val="00B91FA3"/>
    <w:rsid w:val="00BE5D40"/>
    <w:rsid w:val="00BF0277"/>
    <w:rsid w:val="00BF2FB7"/>
    <w:rsid w:val="00C04FEE"/>
    <w:rsid w:val="00C10AE6"/>
    <w:rsid w:val="00C26308"/>
    <w:rsid w:val="00C31200"/>
    <w:rsid w:val="00C65405"/>
    <w:rsid w:val="00C959EE"/>
    <w:rsid w:val="00C96F9C"/>
    <w:rsid w:val="00D111F1"/>
    <w:rsid w:val="00D13F1A"/>
    <w:rsid w:val="00D20EAB"/>
    <w:rsid w:val="00D53076"/>
    <w:rsid w:val="00D947DB"/>
    <w:rsid w:val="00DA275E"/>
    <w:rsid w:val="00DA5C15"/>
    <w:rsid w:val="00DB1711"/>
    <w:rsid w:val="00DC053D"/>
    <w:rsid w:val="00DF3723"/>
    <w:rsid w:val="00E00252"/>
    <w:rsid w:val="00E07008"/>
    <w:rsid w:val="00E15A95"/>
    <w:rsid w:val="00E266EF"/>
    <w:rsid w:val="00E5171B"/>
    <w:rsid w:val="00E77B29"/>
    <w:rsid w:val="00E84BA1"/>
    <w:rsid w:val="00EA1125"/>
    <w:rsid w:val="00EA1685"/>
    <w:rsid w:val="00EB19BA"/>
    <w:rsid w:val="00EC08B9"/>
    <w:rsid w:val="00EC449B"/>
    <w:rsid w:val="00ED005E"/>
    <w:rsid w:val="00F35144"/>
    <w:rsid w:val="00F42742"/>
    <w:rsid w:val="00F56EEB"/>
    <w:rsid w:val="00F7798C"/>
    <w:rsid w:val="00F800EC"/>
    <w:rsid w:val="00FA1D9C"/>
    <w:rsid w:val="00FA57B2"/>
    <w:rsid w:val="00FB4E58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690E"/>
  <w15:chartTrackingRefBased/>
  <w15:docId w15:val="{AE8CB0FA-DA13-4B5E-B473-4031C33C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0EAB"/>
    <w:pPr>
      <w:spacing w:after="200" w:line="24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2187"/>
    <w:pPr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A2763"/>
    <w:pPr>
      <w:keepNext/>
      <w:jc w:val="center"/>
      <w:outlineLvl w:val="1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2187"/>
    <w:rPr>
      <w:rFonts w:ascii="Times New Roman" w:hAnsi="Times New Roman"/>
      <w:b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02187"/>
    <w:rPr>
      <w:b/>
    </w:rPr>
  </w:style>
  <w:style w:type="character" w:customStyle="1" w:styleId="TitoloCarattere">
    <w:name w:val="Titolo Carattere"/>
    <w:basedOn w:val="Carpredefinitoparagrafo"/>
    <w:link w:val="Titolo"/>
    <w:uiPriority w:val="10"/>
    <w:rsid w:val="00802187"/>
    <w:rPr>
      <w:rFonts w:ascii="Times New Roman" w:hAnsi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A2763"/>
    <w:rPr>
      <w:rFonts w:ascii="Times New Roman" w:hAnsi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Gallo</dc:creator>
  <cp:keywords/>
  <dc:description/>
  <cp:lastModifiedBy>Giovanni Gallo</cp:lastModifiedBy>
  <cp:revision>146</cp:revision>
  <dcterms:created xsi:type="dcterms:W3CDTF">2018-10-02T13:03:00Z</dcterms:created>
  <dcterms:modified xsi:type="dcterms:W3CDTF">2018-10-18T15:48:00Z</dcterms:modified>
</cp:coreProperties>
</file>